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90" w:rsidRDefault="00FF3D90" w:rsidP="00FF3D90">
      <w:pPr>
        <w:ind w:right="-1559"/>
        <w:jc w:val="center"/>
        <w:rPr>
          <w:rFonts w:cs="Times New Roman"/>
          <w:b/>
          <w:szCs w:val="24"/>
        </w:rPr>
      </w:pPr>
      <w:r>
        <w:rPr>
          <w:rFonts w:cs="Times New Roman"/>
          <w:b/>
          <w:szCs w:val="24"/>
        </w:rPr>
        <w:t>SAKARYA ÜNİVERSİTESİ</w:t>
      </w:r>
    </w:p>
    <w:p w:rsidR="00FF3D90" w:rsidRDefault="00FF3D90" w:rsidP="00FF3D90">
      <w:pPr>
        <w:ind w:right="-1559"/>
        <w:jc w:val="center"/>
        <w:rPr>
          <w:rFonts w:cs="Times New Roman"/>
          <w:b/>
          <w:szCs w:val="24"/>
        </w:rPr>
      </w:pPr>
      <w:r>
        <w:rPr>
          <w:rFonts w:cs="Times New Roman"/>
          <w:b/>
          <w:szCs w:val="24"/>
        </w:rPr>
        <w:t>FEN EDEBİYAT FAKÜLTESİ</w:t>
      </w:r>
    </w:p>
    <w:p w:rsidR="00FF3D90" w:rsidRDefault="00FF3D90" w:rsidP="00FF3D90">
      <w:pPr>
        <w:ind w:right="-1559"/>
        <w:jc w:val="center"/>
        <w:rPr>
          <w:rFonts w:cs="Times New Roman"/>
          <w:b/>
          <w:szCs w:val="24"/>
        </w:rPr>
      </w:pPr>
      <w:r>
        <w:rPr>
          <w:rFonts w:cs="Times New Roman"/>
          <w:b/>
          <w:szCs w:val="24"/>
        </w:rPr>
        <w:t>SOSYAL HİZMET BÖLÜMÜ</w:t>
      </w:r>
    </w:p>
    <w:p w:rsidR="00FF3D90" w:rsidRDefault="00FF3D90" w:rsidP="00FF3D90">
      <w:pPr>
        <w:ind w:right="-1559"/>
        <w:jc w:val="center"/>
        <w:rPr>
          <w:rFonts w:cs="Times New Roman"/>
          <w:b/>
          <w:szCs w:val="24"/>
        </w:rPr>
      </w:pPr>
      <w:r>
        <w:rPr>
          <w:rFonts w:cs="Times New Roman"/>
          <w:b/>
          <w:szCs w:val="24"/>
        </w:rPr>
        <w:t>ÖZDEĞERLENDİRME KOMİSYONU</w:t>
      </w:r>
    </w:p>
    <w:p w:rsidR="00FF3D90" w:rsidRDefault="00FF3D90" w:rsidP="00FF3D90">
      <w:pPr>
        <w:rPr>
          <w:rFonts w:cs="Times New Roman"/>
          <w:szCs w:val="24"/>
        </w:rPr>
      </w:pPr>
    </w:p>
    <w:p w:rsidR="00FF3D90" w:rsidRDefault="00FF3D90" w:rsidP="00FF3D90">
      <w:pPr>
        <w:rPr>
          <w:rFonts w:cs="Times New Roman"/>
          <w:szCs w:val="24"/>
        </w:rPr>
      </w:pPr>
      <w:r>
        <w:rPr>
          <w:rFonts w:cs="Times New Roman"/>
          <w:b/>
          <w:szCs w:val="24"/>
        </w:rPr>
        <w:t>Konu:</w:t>
      </w:r>
      <w:r>
        <w:rPr>
          <w:rFonts w:cs="Times New Roman"/>
          <w:szCs w:val="24"/>
        </w:rPr>
        <w:t xml:space="preserve"> Ders Değerlendirme Anketi (Öğretim Elemanları)</w:t>
      </w:r>
    </w:p>
    <w:p w:rsidR="00FF3D90" w:rsidRDefault="00FF3D90" w:rsidP="00FF3D90">
      <w:pPr>
        <w:rPr>
          <w:rFonts w:cs="Times New Roman"/>
          <w:szCs w:val="24"/>
        </w:rPr>
      </w:pPr>
      <w:r>
        <w:rPr>
          <w:rFonts w:cs="Times New Roman"/>
          <w:szCs w:val="24"/>
        </w:rPr>
        <w:tab/>
        <w:t>Anket Değerlendirmeleri</w:t>
      </w:r>
    </w:p>
    <w:p w:rsidR="00FF3D90" w:rsidRDefault="00FF3D90" w:rsidP="00FF3D90">
      <w:r>
        <w:t>Bölümümüz öğrencilerine her dönem sonunda ve her dersle ilgili olarak ayrı ayrı ders değerlendirme anketleri uygulanmaktadır. Bu anketlerde öğrencilere dersin öğretim elemanının performansıyla ilgili sorular yöneltilmektedir.</w:t>
      </w:r>
    </w:p>
    <w:p w:rsidR="00FF3D90" w:rsidRDefault="00FF3D90" w:rsidP="00FF3D90">
      <w:r>
        <w:t xml:space="preserve">2015-16 Eğitim öğretim yılı Bahar Döneminde uygulanan anketlerde elde edilen bulgulara bakıldığında öğretim elemanlarının genel olarak 65 civarında puan aldıkları görülmektedir. Aşağıda verilen sorulara göre belli konularda bazı öğretim elemanlarının daha yüksek performans göstermesi gerektiği kanaati oluşmuştur. Öğretim elemanlarının genel olarak performansları yüksektir. Farklı fikirlere açıklık, ders sürelerinin etkin kullanımı gibi konularda olumlu bir performans ortaya koyulmuştur. Ancak dikkat edilmesi gereken şeylerden biri öğretim elemanlarının derslere daha düzenli devam etmesidir. Öğretim elemanlarının derse hazırlıklı gelmek konusundaki performansları yüksek görülmüştür. Ayrıca öğrencilerin son soruda verdikleri yanıtlara dayanarak aynı öğretim elamanından yeniden başka bir ders almak konusundan istekli olduklarını belirtmiş olmaları bu anlamda öğrencilerin öğretim elemanlarından memnuniyetlerine işaret etmektedir. Her öğretim elemanı kendisine açık olan bu anket sistemi sayesinde kendi durumunu görme </w:t>
      </w:r>
      <w:proofErr w:type="gramStart"/>
      <w:r>
        <w:t>imkanına</w:t>
      </w:r>
      <w:proofErr w:type="gramEnd"/>
      <w:r>
        <w:t xml:space="preserve"> sahiptir.  </w:t>
      </w:r>
    </w:p>
    <w:tbl>
      <w:tblPr>
        <w:tblW w:w="8923" w:type="dxa"/>
        <w:tblBorders>
          <w:top w:val="single" w:sz="6" w:space="0" w:color="E7ECF1"/>
          <w:left w:val="single" w:sz="6" w:space="0" w:color="E7ECF1"/>
          <w:bottom w:val="single" w:sz="6" w:space="0" w:color="E7ECF1"/>
          <w:right w:val="single" w:sz="6" w:space="0" w:color="E7ECF1"/>
        </w:tblBorders>
        <w:tblLook w:val="04A0" w:firstRow="1" w:lastRow="0" w:firstColumn="1" w:lastColumn="0" w:noHBand="0" w:noVBand="1"/>
      </w:tblPr>
      <w:tblGrid>
        <w:gridCol w:w="384"/>
        <w:gridCol w:w="8539"/>
      </w:tblGrid>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1</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derse düzenli ve zamanında gelmesi</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2</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derse hazırlıklı gelmesi</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3</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dersin işlenişinde ve dersle ilişkili sorulara cevap vermede yetkinliği</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lastRenderedPageBreak/>
              <w:t>4</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derste farklı düşüncelere ve yorumlara yer vererek derse katılımı özendirmesi</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5</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öğrencilerle iletişimi</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6</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ders sürecinde öğretim teknolojilerini (</w:t>
            </w:r>
            <w:proofErr w:type="gramStart"/>
            <w:r>
              <w:rPr>
                <w:rFonts w:ascii="Arial" w:eastAsia="Times New Roman" w:hAnsi="Arial" w:cs="Arial"/>
                <w:color w:val="34495E"/>
                <w:sz w:val="21"/>
                <w:szCs w:val="21"/>
                <w:lang w:eastAsia="en-US"/>
              </w:rPr>
              <w:t>projeksiyon</w:t>
            </w:r>
            <w:proofErr w:type="gramEnd"/>
            <w:r>
              <w:rPr>
                <w:rFonts w:ascii="Arial" w:eastAsia="Times New Roman" w:hAnsi="Arial" w:cs="Arial"/>
                <w:color w:val="34495E"/>
                <w:sz w:val="21"/>
                <w:szCs w:val="21"/>
                <w:lang w:eastAsia="en-US"/>
              </w:rPr>
              <w:t>, görsel materyal vb.) etkin kullanımı</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7</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ders süresini etkin kullanımı</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8</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hazırladığı ödevlerin/sınavların, ders içeriğine uygunluğu</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9</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Öğretim elemanının, ödevleri/sınavları objektif bir şekilde değerlendirmesi</w:t>
            </w:r>
          </w:p>
        </w:tc>
      </w:tr>
      <w:tr w:rsidR="00FF3D90" w:rsidTr="00FF3D90">
        <w:tc>
          <w:tcPr>
            <w:tcW w:w="0" w:type="auto"/>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10</w:t>
            </w:r>
          </w:p>
        </w:tc>
        <w:tc>
          <w:tcPr>
            <w:tcW w:w="8539" w:type="dxa"/>
            <w:tcBorders>
              <w:top w:val="single" w:sz="6" w:space="0" w:color="E7ECF1"/>
              <w:left w:val="single" w:sz="6" w:space="0" w:color="E7ECF1"/>
              <w:bottom w:val="single" w:sz="6" w:space="0" w:color="E7ECF1"/>
              <w:right w:val="single" w:sz="6" w:space="0" w:color="E7ECF1"/>
            </w:tcBorders>
            <w:tcMar>
              <w:top w:w="75" w:type="dxa"/>
              <w:left w:w="75" w:type="dxa"/>
              <w:bottom w:w="75" w:type="dxa"/>
              <w:right w:w="75" w:type="dxa"/>
            </w:tcMar>
            <w:vAlign w:val="center"/>
            <w:hideMark/>
          </w:tcPr>
          <w:p w:rsidR="00FF3D90" w:rsidRDefault="00FF3D90">
            <w:pPr>
              <w:spacing w:before="0" w:after="300" w:line="240" w:lineRule="auto"/>
              <w:jc w:val="left"/>
              <w:rPr>
                <w:rFonts w:ascii="Arial" w:eastAsia="Times New Roman" w:hAnsi="Arial" w:cs="Arial"/>
                <w:color w:val="34495E"/>
                <w:sz w:val="21"/>
                <w:szCs w:val="21"/>
                <w:lang w:eastAsia="en-US"/>
              </w:rPr>
            </w:pPr>
            <w:r>
              <w:rPr>
                <w:rFonts w:ascii="Arial" w:eastAsia="Times New Roman" w:hAnsi="Arial" w:cs="Arial"/>
                <w:color w:val="34495E"/>
                <w:sz w:val="21"/>
                <w:szCs w:val="21"/>
                <w:lang w:eastAsia="en-US"/>
              </w:rPr>
              <w:t>Keşke bu öğretim elemanından bir ders daha alabilsem</w:t>
            </w:r>
          </w:p>
        </w:tc>
      </w:tr>
    </w:tbl>
    <w:p w:rsidR="00FF3D90" w:rsidRDefault="00FF3D90" w:rsidP="00FF3D90"/>
    <w:p w:rsidR="00FF3D90" w:rsidRDefault="00FF3D90" w:rsidP="00FF3D90"/>
    <w:p w:rsidR="00FF3D90" w:rsidRDefault="00FF3D90" w:rsidP="00FF3D90">
      <w:pPr>
        <w:rPr>
          <w:rFonts w:cs="Times New Roman"/>
          <w:sz w:val="14"/>
          <w:szCs w:val="14"/>
        </w:rPr>
      </w:pPr>
    </w:p>
    <w:p w:rsidR="00FF3D90" w:rsidRDefault="00FF3D90" w:rsidP="00FF3D90">
      <w:pPr>
        <w:ind w:firstLine="708"/>
        <w:jc w:val="center"/>
        <w:rPr>
          <w:b/>
        </w:rPr>
      </w:pPr>
      <w:r>
        <w:rPr>
          <w:b/>
        </w:rPr>
        <w:t>Komisyon</w:t>
      </w:r>
    </w:p>
    <w:p w:rsidR="00FF3D90" w:rsidRDefault="00FF3D90" w:rsidP="00FF3D90">
      <w:pPr>
        <w:ind w:left="-567" w:right="-2126"/>
        <w:rPr>
          <w:b/>
        </w:rPr>
      </w:pPr>
      <w:r>
        <w:rPr>
          <w:b/>
        </w:rPr>
        <w:t xml:space="preserve">Yrd. Doç. Dr. </w:t>
      </w:r>
      <w:r w:rsidR="0049295D">
        <w:rPr>
          <w:b/>
        </w:rPr>
        <w:t>Hasan H. TAYLAN</w:t>
      </w:r>
      <w:bookmarkStart w:id="0" w:name="_GoBack"/>
      <w:bookmarkEnd w:id="0"/>
      <w:r>
        <w:rPr>
          <w:b/>
        </w:rPr>
        <w:tab/>
        <w:t xml:space="preserve">Arş. Gör. H. </w:t>
      </w:r>
      <w:proofErr w:type="spellStart"/>
      <w:r>
        <w:rPr>
          <w:b/>
        </w:rPr>
        <w:t>Zahid</w:t>
      </w:r>
      <w:proofErr w:type="spellEnd"/>
      <w:r>
        <w:rPr>
          <w:b/>
        </w:rPr>
        <w:t xml:space="preserve"> KARA </w:t>
      </w:r>
      <w:r>
        <w:rPr>
          <w:b/>
        </w:rPr>
        <w:tab/>
      </w:r>
      <w:r>
        <w:rPr>
          <w:b/>
        </w:rPr>
        <w:tab/>
        <w:t>Arş. Gör. İhsan KUTLU</w:t>
      </w:r>
    </w:p>
    <w:p w:rsidR="00FF3D90" w:rsidRDefault="00FF3D90" w:rsidP="00FF3D90"/>
    <w:p w:rsidR="0041231C" w:rsidRDefault="0041231C"/>
    <w:sectPr w:rsidR="00412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4E"/>
    <w:rsid w:val="0028744E"/>
    <w:rsid w:val="0041231C"/>
    <w:rsid w:val="00477314"/>
    <w:rsid w:val="0049295D"/>
    <w:rsid w:val="00FF3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8AAB-CC30-4ABE-B903-DFB5DED8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90"/>
    <w:pPr>
      <w:spacing w:before="120" w:after="240" w:line="360" w:lineRule="auto"/>
      <w:jc w:val="both"/>
    </w:pPr>
    <w:rPr>
      <w:rFonts w:ascii="Times New Roman" w:eastAsiaTheme="minorEastAsia" w:hAnsi="Times New Roman"/>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dcterms:created xsi:type="dcterms:W3CDTF">2017-09-14T12:57:00Z</dcterms:created>
  <dcterms:modified xsi:type="dcterms:W3CDTF">2017-11-03T10:08:00Z</dcterms:modified>
</cp:coreProperties>
</file>